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Motorizando ideas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 xml:space="preserve">  </w:t>
      </w:r>
      <w:r w:rsidDel="00000000" w:rsidR="00000000" w:rsidRPr="00000000">
        <w:rPr>
          <w:sz w:val="24"/>
          <w:szCs w:val="24"/>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ÁREA: </w:t>
      </w:r>
      <w:r w:rsidDel="00000000" w:rsidR="00000000" w:rsidRPr="00000000">
        <w:rPr>
          <w:sz w:val="24"/>
          <w:szCs w:val="24"/>
          <w:rtl w:val="0"/>
        </w:rPr>
        <w:t xml:space="preserve">Educación Agraria</w:t>
      </w:r>
      <w:r w:rsidDel="00000000" w:rsidR="00000000" w:rsidRPr="00000000">
        <w:rPr>
          <w:b w:val="1"/>
          <w:sz w:val="24"/>
          <w:szCs w:val="24"/>
          <w:rtl w:val="0"/>
        </w:rPr>
        <w:tab/>
        <w:t xml:space="preserve">MODALIDAD: </w:t>
        <w:tab/>
        <w:t xml:space="preserve"> </w:t>
      </w:r>
      <w:r w:rsidDel="00000000" w:rsidR="00000000" w:rsidRPr="00000000">
        <w:rPr>
          <w:sz w:val="24"/>
          <w:szCs w:val="24"/>
          <w:rtl w:val="0"/>
        </w:rPr>
        <w:t xml:space="preserve">HOGAR</w:t>
      </w:r>
      <w:r w:rsidDel="00000000" w:rsidR="00000000" w:rsidRPr="00000000">
        <w:rPr>
          <w:b w:val="1"/>
          <w:sz w:val="24"/>
          <w:szCs w:val="24"/>
          <w:rtl w:val="0"/>
        </w:rPr>
        <w:tab/>
        <w:tab/>
        <w:tab/>
      </w:r>
    </w:p>
    <w:p w:rsidR="00000000" w:rsidDel="00000000" w:rsidP="00000000" w:rsidRDefault="00000000" w:rsidRPr="00000000" w14:paraId="00000005">
      <w:pPr>
        <w:spacing w:before="240" w:lineRule="auto"/>
        <w:rPr>
          <w:sz w:val="24"/>
          <w:szCs w:val="24"/>
        </w:rPr>
      </w:pPr>
      <w:r w:rsidDel="00000000" w:rsidR="00000000" w:rsidRPr="00000000">
        <w:rPr>
          <w:sz w:val="24"/>
          <w:szCs w:val="24"/>
          <w:rtl w:val="0"/>
        </w:rPr>
        <w:t xml:space="preserve">4 ° Grado - 2° Ciclo:</w:t>
        <w:tab/>
        <w:t xml:space="preserve">Cantidad de alumnos: 11</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EJE TEMÁTICO:- Eje Transversal</w:t>
      </w:r>
      <w:r w:rsidDel="00000000" w:rsidR="00000000" w:rsidRPr="00000000">
        <w:rPr>
          <w:sz w:val="24"/>
          <w:szCs w:val="24"/>
          <w:rtl w:val="0"/>
        </w:rPr>
        <w:t xml:space="preserve">: El desarrollo del pensamiento científico escolar. Alfabetización en Educación Tecnológica.</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                             -Eje Específico del área</w:t>
      </w:r>
      <w:r w:rsidDel="00000000" w:rsidR="00000000" w:rsidRPr="00000000">
        <w:rPr>
          <w:sz w:val="24"/>
          <w:szCs w:val="24"/>
          <w:rtl w:val="0"/>
        </w:rPr>
        <w:t xml:space="preserve">: El reconocimiento y desarrollo de los procesos productivos en diferentes ámbitos.</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SABERES: </w:t>
      </w:r>
      <w:r w:rsidDel="00000000" w:rsidR="00000000" w:rsidRPr="00000000">
        <w:rPr>
          <w:sz w:val="24"/>
          <w:szCs w:val="24"/>
          <w:rtl w:val="0"/>
        </w:rPr>
        <w:t xml:space="preserve">-Reconocimiento de diferentes actividades productivas.</w:t>
      </w:r>
    </w:p>
    <w:p w:rsidR="00000000" w:rsidDel="00000000" w:rsidP="00000000" w:rsidRDefault="00000000" w:rsidRPr="00000000" w14:paraId="00000009">
      <w:pPr>
        <w:rPr>
          <w:sz w:val="24"/>
          <w:szCs w:val="24"/>
        </w:rPr>
      </w:pPr>
      <w:r w:rsidDel="00000000" w:rsidR="00000000" w:rsidRPr="00000000">
        <w:rPr>
          <w:sz w:val="24"/>
          <w:szCs w:val="24"/>
          <w:rtl w:val="0"/>
        </w:rPr>
        <w:t xml:space="preserve">                   -Identificación de las distintas etapas de un proyecto productivo.</w:t>
      </w:r>
    </w:p>
    <w:p w:rsidR="00000000" w:rsidDel="00000000" w:rsidP="00000000" w:rsidRDefault="00000000" w:rsidRPr="00000000" w14:paraId="0000000A">
      <w:pPr>
        <w:rPr>
          <w:sz w:val="24"/>
          <w:szCs w:val="24"/>
        </w:rPr>
      </w:pPr>
      <w:r w:rsidDel="00000000" w:rsidR="00000000" w:rsidRPr="00000000">
        <w:rPr>
          <w:sz w:val="24"/>
          <w:szCs w:val="24"/>
          <w:rtl w:val="0"/>
        </w:rPr>
        <w:t xml:space="preserve">                   -Identificación de las pautas de las normas de higiene y seguridad en actividades productivas</w:t>
      </w:r>
    </w:p>
    <w:p w:rsidR="00000000" w:rsidDel="00000000" w:rsidP="00000000" w:rsidRDefault="00000000" w:rsidRPr="00000000" w14:paraId="0000000B">
      <w:pPr>
        <w:rPr>
          <w:sz w:val="24"/>
          <w:szCs w:val="24"/>
        </w:rPr>
      </w:pPr>
      <w:r w:rsidDel="00000000" w:rsidR="00000000" w:rsidRPr="00000000">
        <w:rPr>
          <w:sz w:val="24"/>
          <w:szCs w:val="24"/>
          <w:rtl w:val="0"/>
        </w:rPr>
        <w:t xml:space="preserve">                  -Desarrollo de hábitos de uso seguro de herramientas.</w:t>
      </w:r>
    </w:p>
    <w:p w:rsidR="00000000" w:rsidDel="00000000" w:rsidP="00000000" w:rsidRDefault="00000000" w:rsidRPr="00000000" w14:paraId="0000000C">
      <w:pPr>
        <w:spacing w:after="120" w:lineRule="auto"/>
        <w:rPr>
          <w:b w:val="1"/>
          <w:sz w:val="24"/>
          <w:szCs w:val="24"/>
          <w:u w:val="single"/>
        </w:rPr>
      </w:pPr>
      <w:r w:rsidDel="00000000" w:rsidR="00000000" w:rsidRPr="00000000">
        <w:rPr>
          <w:b w:val="1"/>
          <w:sz w:val="24"/>
          <w:szCs w:val="24"/>
          <w:u w:val="single"/>
          <w:rtl w:val="0"/>
        </w:rPr>
        <w:t xml:space="preserve">DATOS DE LA INSTITUCIÓN</w:t>
      </w:r>
    </w:p>
    <w:p w:rsidR="00000000" w:rsidDel="00000000" w:rsidP="00000000" w:rsidRDefault="00000000" w:rsidRPr="00000000" w14:paraId="0000000D">
      <w:pPr>
        <w:spacing w:after="120" w:lineRule="auto"/>
        <w:rPr>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Escuela Hogar N° 175     </w:t>
      </w:r>
      <w:r w:rsidDel="00000000" w:rsidR="00000000" w:rsidRPr="00000000">
        <w:rPr>
          <w:b w:val="1"/>
          <w:sz w:val="24"/>
          <w:szCs w:val="24"/>
          <w:rtl w:val="0"/>
        </w:rPr>
        <w:t xml:space="preserve">LOCALIDAD</w:t>
      </w:r>
      <w:r w:rsidDel="00000000" w:rsidR="00000000" w:rsidRPr="00000000">
        <w:rPr>
          <w:sz w:val="24"/>
          <w:szCs w:val="24"/>
          <w:rtl w:val="0"/>
        </w:rPr>
        <w:t xml:space="preserve">: Cuchillo Có</w:t>
      </w:r>
      <w:r w:rsidDel="00000000" w:rsidR="00000000" w:rsidRPr="00000000">
        <w:rPr>
          <w:b w:val="1"/>
          <w:sz w:val="24"/>
          <w:szCs w:val="24"/>
          <w:rtl w:val="0"/>
        </w:rPr>
        <w:t xml:space="preserve">  TELÉFONO</w:t>
      </w:r>
      <w:r w:rsidDel="00000000" w:rsidR="00000000" w:rsidRPr="00000000">
        <w:rPr>
          <w:sz w:val="24"/>
          <w:szCs w:val="24"/>
          <w:rtl w:val="0"/>
        </w:rPr>
        <w:t xml:space="preserve">: 02954-452642</w:t>
      </w:r>
    </w:p>
    <w:p w:rsidR="00000000" w:rsidDel="00000000" w:rsidP="00000000" w:rsidRDefault="00000000" w:rsidRPr="00000000" w14:paraId="0000000E">
      <w:pPr>
        <w:spacing w:after="120" w:lineRule="auto"/>
        <w:rPr>
          <w:sz w:val="24"/>
          <w:szCs w:val="24"/>
        </w:rPr>
      </w:pP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escuela175@lapampa.edu.ar</w:t>
        </w:r>
      </w:hyperlink>
      <w:r w:rsidDel="00000000" w:rsidR="00000000" w:rsidRPr="00000000">
        <w:rPr>
          <w:rtl w:val="0"/>
        </w:rPr>
      </w:r>
    </w:p>
    <w:p w:rsidR="00000000" w:rsidDel="00000000" w:rsidP="00000000" w:rsidRDefault="00000000" w:rsidRPr="00000000" w14:paraId="0000000F">
      <w:pPr>
        <w:spacing w:after="120" w:lineRule="auto"/>
        <w:rPr>
          <w:b w:val="1"/>
          <w:sz w:val="24"/>
          <w:szCs w:val="24"/>
          <w:u w:val="single"/>
        </w:rPr>
      </w:pPr>
      <w:r w:rsidDel="00000000" w:rsidR="00000000" w:rsidRPr="00000000">
        <w:rPr>
          <w:b w:val="1"/>
          <w:sz w:val="24"/>
          <w:szCs w:val="24"/>
          <w:u w:val="single"/>
          <w:rtl w:val="0"/>
        </w:rPr>
        <w:t xml:space="preserve">DOCENTES: </w:t>
      </w:r>
    </w:p>
    <w:p w:rsidR="00000000" w:rsidDel="00000000" w:rsidP="00000000" w:rsidRDefault="00000000" w:rsidRPr="00000000" w14:paraId="00000010">
      <w:pPr>
        <w:spacing w:after="120" w:lineRule="auto"/>
        <w:ind w:right="424"/>
        <w:rPr>
          <w:sz w:val="24"/>
          <w:szCs w:val="24"/>
        </w:rPr>
      </w:pPr>
      <w:r w:rsidDel="00000000" w:rsidR="00000000" w:rsidRPr="00000000">
        <w:rPr>
          <w:sz w:val="24"/>
          <w:szCs w:val="24"/>
          <w:rtl w:val="0"/>
        </w:rPr>
        <w:t xml:space="preserve">Figueroa, Higinio Ramón</w:t>
      </w:r>
    </w:p>
    <w:p w:rsidR="00000000" w:rsidDel="00000000" w:rsidP="00000000" w:rsidRDefault="00000000" w:rsidRPr="00000000" w14:paraId="00000011">
      <w:pPr>
        <w:spacing w:after="120" w:lineRule="auto"/>
        <w:rPr>
          <w:sz w:val="24"/>
          <w:szCs w:val="24"/>
        </w:rPr>
      </w:pPr>
      <w:r w:rsidDel="00000000" w:rsidR="00000000" w:rsidRPr="00000000">
        <w:rPr>
          <w:sz w:val="24"/>
          <w:szCs w:val="24"/>
          <w:rtl w:val="0"/>
        </w:rPr>
        <w:t xml:space="preserve">Louis, Paula Andrea.</w:t>
      </w:r>
    </w:p>
    <w:p w:rsidR="00000000" w:rsidDel="00000000" w:rsidP="00000000" w:rsidRDefault="00000000" w:rsidRPr="00000000" w14:paraId="00000012">
      <w:pPr>
        <w:spacing w:after="120" w:line="480" w:lineRule="auto"/>
        <w:jc w:val="both"/>
        <w:rPr>
          <w:sz w:val="24"/>
          <w:szCs w:val="24"/>
        </w:rPr>
      </w:pPr>
      <w:r w:rsidDel="00000000" w:rsidR="00000000" w:rsidRPr="00000000">
        <w:rPr>
          <w:rtl w:val="0"/>
        </w:rPr>
      </w:r>
    </w:p>
    <w:p w:rsidR="00000000" w:rsidDel="00000000" w:rsidP="00000000" w:rsidRDefault="00000000" w:rsidRPr="00000000" w14:paraId="00000013">
      <w:pPr>
        <w:spacing w:after="120" w:line="480" w:lineRule="auto"/>
        <w:jc w:val="both"/>
        <w:rPr>
          <w:sz w:val="24"/>
          <w:szCs w:val="24"/>
        </w:rPr>
      </w:pPr>
      <w:r w:rsidDel="00000000" w:rsidR="00000000" w:rsidRPr="00000000">
        <w:rPr>
          <w:rtl w:val="0"/>
        </w:rPr>
      </w:r>
    </w:p>
    <w:p w:rsidR="00000000" w:rsidDel="00000000" w:rsidP="00000000" w:rsidRDefault="00000000" w:rsidRPr="00000000" w14:paraId="00000014">
      <w:pPr>
        <w:spacing w:after="120" w:line="480" w:lineRule="auto"/>
        <w:jc w:val="both"/>
        <w:rPr>
          <w:sz w:val="24"/>
          <w:szCs w:val="24"/>
        </w:rPr>
      </w:pPr>
      <w:r w:rsidDel="00000000" w:rsidR="00000000" w:rsidRPr="00000000">
        <w:rPr>
          <w:rtl w:val="0"/>
        </w:rPr>
      </w:r>
    </w:p>
    <w:p w:rsidR="00000000" w:rsidDel="00000000" w:rsidP="00000000" w:rsidRDefault="00000000" w:rsidRPr="00000000" w14:paraId="00000015">
      <w:pPr>
        <w:spacing w:after="120" w:line="480" w:lineRule="auto"/>
        <w:jc w:val="both"/>
        <w:rPr>
          <w:sz w:val="24"/>
          <w:szCs w:val="24"/>
        </w:rPr>
      </w:pPr>
      <w:r w:rsidDel="00000000" w:rsidR="00000000" w:rsidRPr="00000000">
        <w:rPr>
          <w:rtl w:val="0"/>
        </w:rPr>
      </w:r>
    </w:p>
    <w:p w:rsidR="00000000" w:rsidDel="00000000" w:rsidP="00000000" w:rsidRDefault="00000000" w:rsidRPr="00000000" w14:paraId="00000016">
      <w:pPr>
        <w:spacing w:line="240" w:lineRule="auto"/>
        <w:jc w:val="both"/>
        <w:rPr/>
      </w:pPr>
      <w:bookmarkStart w:colFirst="0" w:colLast="0" w:name="_heading=h.gjdgxs" w:id="0"/>
      <w:bookmarkEnd w:id="0"/>
      <w:r w:rsidDel="00000000" w:rsidR="00000000" w:rsidRPr="00000000">
        <w:rPr>
          <w:sz w:val="24"/>
          <w:szCs w:val="24"/>
          <w:rtl w:val="0"/>
        </w:rPr>
        <w:t xml:space="preserve">                                           </w:t>
      </w:r>
      <w:r w:rsidDel="00000000" w:rsidR="00000000" w:rsidRPr="00000000">
        <w:rPr>
          <w:rtl w:val="0"/>
        </w:rPr>
        <w:t xml:space="preserve"> Motorizando ideas.</w:t>
      </w:r>
    </w:p>
    <w:p w:rsidR="00000000" w:rsidDel="00000000" w:rsidP="00000000" w:rsidRDefault="00000000" w:rsidRPr="00000000" w14:paraId="00000017">
      <w:pPr>
        <w:spacing w:line="240" w:lineRule="auto"/>
        <w:jc w:val="both"/>
        <w:rPr/>
      </w:pPr>
      <w:r w:rsidDel="00000000" w:rsidR="00000000" w:rsidRPr="00000000">
        <w:rPr>
          <w:u w:val="single"/>
          <w:rtl w:val="0"/>
        </w:rPr>
        <w:t xml:space="preserve">Área</w:t>
      </w:r>
      <w:r w:rsidDel="00000000" w:rsidR="00000000" w:rsidRPr="00000000">
        <w:rPr>
          <w:rtl w:val="0"/>
        </w:rPr>
        <w:t xml:space="preserve">: Educación Agraria.</w:t>
      </w:r>
    </w:p>
    <w:p w:rsidR="00000000" w:rsidDel="00000000" w:rsidP="00000000" w:rsidRDefault="00000000" w:rsidRPr="00000000" w14:paraId="00000018">
      <w:pPr>
        <w:spacing w:line="240" w:lineRule="auto"/>
        <w:jc w:val="both"/>
        <w:rPr/>
      </w:pPr>
      <w:r w:rsidDel="00000000" w:rsidR="00000000" w:rsidRPr="00000000">
        <w:rPr>
          <w:rtl w:val="0"/>
        </w:rPr>
        <w:t xml:space="preserve">La escuela a través del área de Educación Agraria, conjuntamente  con  promotores de Inta Guatraché, y enmarcados en el proyecto Prohuerta promueve  la autoproducción de alimentos frescos  provenientes de huertas y criaderos de aves familiares., proveyendo de recursos tales como semillas, gallinas ponedoras, pollos parrilleros y planteles de conejos reproductores y el asesoramiento técnicos para el desarrollo de las mencionadas actividades a las familias de la comunidad.</w:t>
      </w:r>
    </w:p>
    <w:p w:rsidR="00000000" w:rsidDel="00000000" w:rsidP="00000000" w:rsidRDefault="00000000" w:rsidRPr="00000000" w14:paraId="00000019">
      <w:pPr>
        <w:spacing w:line="240" w:lineRule="auto"/>
        <w:jc w:val="both"/>
        <w:rPr/>
      </w:pPr>
      <w:r w:rsidDel="00000000" w:rsidR="00000000" w:rsidRPr="00000000">
        <w:rPr>
          <w:rtl w:val="0"/>
        </w:rPr>
        <w:t xml:space="preserve">Las capacitaciones organizadas por docentes y técnicos  están destinadas tanto como a padres y alumnos, las mismas ubican a la escuela  en un marco referencial para las familias del lugar en lo que respecta a estas temáticas. </w:t>
      </w:r>
    </w:p>
    <w:p w:rsidR="00000000" w:rsidDel="00000000" w:rsidP="00000000" w:rsidRDefault="00000000" w:rsidRPr="00000000" w14:paraId="0000001A">
      <w:pPr>
        <w:spacing w:line="240" w:lineRule="auto"/>
        <w:jc w:val="both"/>
        <w:rPr/>
      </w:pPr>
      <w:r w:rsidDel="00000000" w:rsidR="00000000" w:rsidRPr="00000000">
        <w:rPr>
          <w:rtl w:val="0"/>
        </w:rPr>
        <w:t xml:space="preserve">Además del trabajo mancomunado con la comisión de fomento, a través de microemprendimientos productivos familiares  apunta a desarrollar la soberanía alimentaria en aquellas familias que por diversos factores, tales con las grandes distancias a  los centros comerciales y el costo que estas condiciones generan, no pueden acceder a alimentos frescos en cantidad y calidad.</w:t>
      </w:r>
    </w:p>
    <w:p w:rsidR="00000000" w:rsidDel="00000000" w:rsidP="00000000" w:rsidRDefault="00000000" w:rsidRPr="00000000" w14:paraId="0000001B">
      <w:pPr>
        <w:spacing w:line="240" w:lineRule="auto"/>
        <w:jc w:val="both"/>
        <w:rPr/>
      </w:pPr>
      <w:r w:rsidDel="00000000" w:rsidR="00000000" w:rsidRPr="00000000">
        <w:rPr>
          <w:rtl w:val="0"/>
        </w:rPr>
        <w:t xml:space="preserve">Cabe destacar que la escuela se encuentra  en una comunidad  de 259 habitantes de la localidad de Cuchillo Co, la cual es cabecera y única población del departamento de Lihue Calel, a una distancia de 150 km de los centros importantes, los cuales  pueden acceder a través de caminos de tierra.</w:t>
      </w:r>
    </w:p>
    <w:p w:rsidR="00000000" w:rsidDel="00000000" w:rsidP="00000000" w:rsidRDefault="00000000" w:rsidRPr="00000000" w14:paraId="0000001C">
      <w:pPr>
        <w:spacing w:line="240" w:lineRule="auto"/>
        <w:jc w:val="both"/>
        <w:rPr/>
      </w:pPr>
      <w:r w:rsidDel="00000000" w:rsidR="00000000" w:rsidRPr="00000000">
        <w:rPr>
          <w:rtl w:val="0"/>
        </w:rPr>
        <w:t xml:space="preserve"> Educación Agrarias tiene como ejes temático y actividades, entre otros, investigar, diseñar y ejecutar  con los estudiantes, distintos métodos y técnicas de producción hortícola y avícolas, tanto a nivel escolar  como  familiar.</w:t>
      </w:r>
    </w:p>
    <w:p w:rsidR="00000000" w:rsidDel="00000000" w:rsidP="00000000" w:rsidRDefault="00000000" w:rsidRPr="00000000" w14:paraId="0000001D">
      <w:pPr>
        <w:spacing w:line="240" w:lineRule="auto"/>
        <w:jc w:val="both"/>
        <w:rPr/>
      </w:pPr>
      <w:r w:rsidDel="00000000" w:rsidR="00000000" w:rsidRPr="00000000">
        <w:rPr>
          <w:rtl w:val="0"/>
        </w:rPr>
        <w:t xml:space="preserve">Esta situación genera  excelentes oportunidades para la generación y aplicación de los distintos  conocimientos desarrollados, convirtiéndolos en aprendizajes significativos.</w:t>
      </w:r>
    </w:p>
    <w:p w:rsidR="00000000" w:rsidDel="00000000" w:rsidP="00000000" w:rsidRDefault="00000000" w:rsidRPr="00000000" w14:paraId="0000001E">
      <w:pPr>
        <w:spacing w:line="240" w:lineRule="auto"/>
        <w:jc w:val="both"/>
        <w:rPr/>
      </w:pPr>
      <w:r w:rsidDel="00000000" w:rsidR="00000000" w:rsidRPr="00000000">
        <w:rPr>
          <w:rtl w:val="0"/>
        </w:rPr>
        <w:t xml:space="preserve">El contexto de pandemia originó que aumentará el número de familias que se dedicaban a estas actividades, muchas de las cuales se transformaron  en microempresas familiares con fines comerciales de su producción, lo que derivó en una adecuación en  las actividades que demanda   mayor trabajo y tiempo dedicado a las mismas.</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t xml:space="preserve">SITUACIÓN PROBLEMÁTICA.</w:t>
      </w:r>
    </w:p>
    <w:p w:rsidR="00000000" w:rsidDel="00000000" w:rsidP="00000000" w:rsidRDefault="00000000" w:rsidRPr="00000000" w14:paraId="00000027">
      <w:pPr>
        <w:spacing w:line="240" w:lineRule="auto"/>
        <w:jc w:val="both"/>
        <w:rPr/>
      </w:pPr>
      <w:r w:rsidDel="00000000" w:rsidR="00000000" w:rsidRPr="00000000">
        <w:rPr>
          <w:rtl w:val="0"/>
        </w:rPr>
        <w:t xml:space="preserve"> La búsqueda de alternativas de sustento familiar llevó a repensar la producción familiar como una actividad con fines lucrativos, lo que derivó  en la  necesidad de encontrar distintos métodos o técnicas más eficaces para acrecentar sus rendimientos. </w:t>
      </w:r>
    </w:p>
    <w:p w:rsidR="00000000" w:rsidDel="00000000" w:rsidP="00000000" w:rsidRDefault="00000000" w:rsidRPr="00000000" w14:paraId="00000028">
      <w:pPr>
        <w:spacing w:line="240" w:lineRule="auto"/>
        <w:jc w:val="both"/>
        <w:rPr/>
      </w:pPr>
      <w:r w:rsidDel="00000000" w:rsidR="00000000" w:rsidRPr="00000000">
        <w:rPr>
          <w:rtl w:val="0"/>
        </w:rPr>
        <w:t xml:space="preserve">Dentro de los aspectos que las familias  consideran,  se  encuentran el de  bajar los costos de alimentación de las aves,  mediante el procesado personal de las materia primas para las mismas, como así también bajar los tiempos de trabajo y el esfuerzo físico que demanda esta actividad.  En un principio al ser una producción pequeña se hacía en forma manual, pero el crecimiento de la misma llevó a integrar a más miembros de la familia en el desarrollo de las actividades de cuidado y mantenimiento de las aves, entre las cuales, sus hijos, alumnos de esta institución se encarga entre otras cosas, el de la molienda de los granos, en el mencionado proceso, ellos mismos  descubren el tiempo y esfuerzo que demanda esta actividades.</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t xml:space="preserve">Teniendo en cuenta que en la escuela se desarrollan actividades similares, son ellos quienes plantean la situación  y desarrollan las posibles soluciones. (hipótesis)</w:t>
      </w:r>
    </w:p>
    <w:p w:rsidR="00000000" w:rsidDel="00000000" w:rsidP="00000000" w:rsidRDefault="00000000" w:rsidRPr="00000000" w14:paraId="0000002B">
      <w:pPr>
        <w:spacing w:line="240" w:lineRule="auto"/>
        <w:jc w:val="both"/>
        <w:rPr/>
      </w:pPr>
      <w:r w:rsidDel="00000000" w:rsidR="00000000" w:rsidRPr="00000000">
        <w:rPr>
          <w:rtl w:val="0"/>
        </w:rPr>
        <w:t xml:space="preserve">Se comienza con la investigación sobre los sistemas de molienda de grano  existentes,  sus  partes, funcionamiento y costos,  y surge la inquietud de poder diseñar y construir uno propio a través de la reutilización de partes o accesorios de electrodomésticos en desuso.</w:t>
      </w:r>
    </w:p>
    <w:p w:rsidR="00000000" w:rsidDel="00000000" w:rsidP="00000000" w:rsidRDefault="00000000" w:rsidRPr="00000000" w14:paraId="0000002C">
      <w:pPr>
        <w:spacing w:line="240" w:lineRule="auto"/>
        <w:jc w:val="both"/>
        <w:rPr/>
      </w:pPr>
      <w:r w:rsidDel="00000000" w:rsidR="00000000" w:rsidRPr="00000000">
        <w:rPr>
          <w:rtl w:val="0"/>
        </w:rPr>
        <w:t xml:space="preserve">La opción más factible, debido a su disponibilidad, fue un lavarropa sin arreglo, el cual luego de indagar sus características técnicas (capacidad 6kg de ropa + kg de Agua) se considera idóneo para adaptarlo  y realizar la prueba en la moledora de grano manual que poseen.</w:t>
      </w:r>
    </w:p>
    <w:p w:rsidR="00000000" w:rsidDel="00000000" w:rsidP="00000000" w:rsidRDefault="00000000" w:rsidRPr="00000000" w14:paraId="0000002D">
      <w:pPr>
        <w:spacing w:line="240" w:lineRule="auto"/>
        <w:jc w:val="both"/>
        <w:rPr/>
      </w:pPr>
      <w:r w:rsidDel="00000000" w:rsidR="00000000" w:rsidRPr="00000000">
        <w:rPr>
          <w:rtl w:val="0"/>
        </w:rPr>
        <w:t xml:space="preserve">Cabe destacar que esta etapa fue realizada conjuntamente con alumnos y docente del área con la ayuda de un técnico electricista.</w:t>
      </w:r>
    </w:p>
    <w:p w:rsidR="00000000" w:rsidDel="00000000" w:rsidP="00000000" w:rsidRDefault="00000000" w:rsidRPr="00000000" w14:paraId="0000002E">
      <w:pPr>
        <w:spacing w:line="240" w:lineRule="auto"/>
        <w:jc w:val="both"/>
        <w:rPr/>
      </w:pPr>
      <w:r w:rsidDel="00000000" w:rsidR="00000000" w:rsidRPr="00000000">
        <w:rPr>
          <w:rtl w:val="0"/>
        </w:rPr>
        <w:t xml:space="preserve">Realizada la adaptación de los componentes del sistema se procede a la prueba y evaluación del mismo, utilizando granos blandos (cebada) con un buen desempeño tanto en tiempo y la materia obtenida.</w:t>
      </w:r>
    </w:p>
    <w:p w:rsidR="00000000" w:rsidDel="00000000" w:rsidP="00000000" w:rsidRDefault="00000000" w:rsidRPr="00000000" w14:paraId="0000002F">
      <w:pPr>
        <w:spacing w:line="240" w:lineRule="auto"/>
        <w:jc w:val="both"/>
        <w:rPr/>
      </w:pPr>
      <w:r w:rsidDel="00000000" w:rsidR="00000000" w:rsidRPr="00000000">
        <w:rPr>
          <w:rtl w:val="0"/>
        </w:rPr>
        <w:t xml:space="preserve">Luego se realiza en mismo procedimiento con granos duros y no funciona (patina la correa) y deducen que se debe a la escasa tensión de la misma, procediendo a regular la misma.</w:t>
      </w:r>
    </w:p>
    <w:p w:rsidR="00000000" w:rsidDel="00000000" w:rsidP="00000000" w:rsidRDefault="00000000" w:rsidRPr="00000000" w14:paraId="00000030">
      <w:pPr>
        <w:spacing w:line="240" w:lineRule="auto"/>
        <w:jc w:val="both"/>
        <w:rPr/>
      </w:pPr>
      <w:r w:rsidDel="00000000" w:rsidR="00000000" w:rsidRPr="00000000">
        <w:rPr>
          <w:rtl w:val="0"/>
        </w:rPr>
        <w:t xml:space="preserve">Mientras se realizan las pruebas al sistema se hace mucho hincapié en las medidas de seguridad  e higiene y  recaban datos para realizar un instructivo de uso.</w:t>
      </w:r>
    </w:p>
    <w:p w:rsidR="00000000" w:rsidDel="00000000" w:rsidP="00000000" w:rsidRDefault="00000000" w:rsidRPr="00000000" w14:paraId="00000031">
      <w:pPr>
        <w:spacing w:line="240" w:lineRule="auto"/>
        <w:jc w:val="both"/>
        <w:rPr/>
      </w:pPr>
      <w:r w:rsidDel="00000000" w:rsidR="00000000" w:rsidRPr="00000000">
        <w:rPr>
          <w:rtl w:val="0"/>
        </w:rPr>
        <w:t xml:space="preserve">Todas estas actividades realizadas son disparadoras para desarrollar temáticas como, Sistema digestivo, partes y su funcionamiento, la nutrición animales de granja, Composición básica de los alimentos en el Área de Ciencias Naturales.</w:t>
      </w:r>
    </w:p>
    <w:p w:rsidR="00000000" w:rsidDel="00000000" w:rsidP="00000000" w:rsidRDefault="00000000" w:rsidRPr="00000000" w14:paraId="00000032">
      <w:pPr>
        <w:spacing w:line="240" w:lineRule="auto"/>
        <w:jc w:val="both"/>
        <w:rPr/>
      </w:pPr>
      <w:r w:rsidDel="00000000" w:rsidR="00000000" w:rsidRPr="00000000">
        <w:rPr>
          <w:rtl w:val="0"/>
        </w:rPr>
      </w:r>
    </w:p>
    <w:p w:rsidR="00000000" w:rsidDel="00000000" w:rsidP="00000000" w:rsidRDefault="00000000" w:rsidRPr="00000000" w14:paraId="00000033">
      <w:pPr>
        <w:spacing w:line="240" w:lineRule="auto"/>
        <w:jc w:val="both"/>
        <w:rPr/>
      </w:pPr>
      <w:r w:rsidDel="00000000" w:rsidR="00000000" w:rsidRPr="00000000">
        <w:rPr>
          <w:rtl w:val="0"/>
        </w:rPr>
      </w:r>
    </w:p>
    <w:p w:rsidR="00000000" w:rsidDel="00000000" w:rsidP="00000000" w:rsidRDefault="00000000" w:rsidRPr="00000000" w14:paraId="00000034">
      <w:pPr>
        <w:spacing w:line="240" w:lineRule="auto"/>
        <w:jc w:val="both"/>
        <w:rPr/>
      </w:pP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rtl w:val="0"/>
        </w:rPr>
        <w:t xml:space="preserve">Mediciones y Operaciones en Matemática, se utilizan para realizar medidas de para cortar y ensamblar las partes,  establecen relaciones de transmisión de fuerza y velocidad midiendo diámetros de poleas, realizan operaciones para obtener los costos de las piezas y materiales utilizadas, realizando cuadros comparativos entre lo que ofrece el mercado y la fabricación propia, además de tiempo utilizado entre  las técnicas de molienda experimentadas.</w:t>
      </w:r>
    </w:p>
    <w:p w:rsidR="00000000" w:rsidDel="00000000" w:rsidP="00000000" w:rsidRDefault="00000000" w:rsidRPr="00000000" w14:paraId="00000036">
      <w:pPr>
        <w:spacing w:line="240" w:lineRule="auto"/>
        <w:jc w:val="both"/>
        <w:rPr/>
      </w:pPr>
      <w:r w:rsidDel="00000000" w:rsidR="00000000" w:rsidRPr="00000000">
        <w:rPr>
          <w:rtl w:val="0"/>
        </w:rPr>
        <w:t xml:space="preserve">Escritura y Oralidad en Lengua, mediante la continua evaluación oral, sobre los avances  y la exposición del trabajo realizado, incorporan nuevos términos y conceptos específicos, ampliando su vocabulario.</w:t>
      </w:r>
    </w:p>
    <w:p w:rsidR="00000000" w:rsidDel="00000000" w:rsidP="00000000" w:rsidRDefault="00000000" w:rsidRPr="00000000" w14:paraId="00000037">
      <w:pPr>
        <w:spacing w:line="240" w:lineRule="auto"/>
        <w:jc w:val="both"/>
        <w:rPr/>
      </w:pPr>
      <w:r w:rsidDel="00000000" w:rsidR="00000000" w:rsidRPr="00000000">
        <w:rPr>
          <w:rtl w:val="0"/>
        </w:rPr>
        <w:t xml:space="preserve">La escritura se utiliza para recabar y almacenar datos sobre los distintos temas que derivan del trabajo realizado, además la utilizan para diseñar un manual de instrucciones del uso del producto obtenido.</w:t>
      </w:r>
    </w:p>
    <w:p w:rsidR="00000000" w:rsidDel="00000000" w:rsidP="00000000" w:rsidRDefault="00000000" w:rsidRPr="00000000" w14:paraId="00000038">
      <w:pPr>
        <w:spacing w:line="240" w:lineRule="auto"/>
        <w:jc w:val="both"/>
        <w:rPr/>
      </w:pPr>
      <w:r w:rsidDel="00000000" w:rsidR="00000000" w:rsidRPr="00000000">
        <w:rPr>
          <w:rtl w:val="0"/>
        </w:rPr>
      </w:r>
    </w:p>
    <w:p w:rsidR="00000000" w:rsidDel="00000000" w:rsidP="00000000" w:rsidRDefault="00000000" w:rsidRPr="00000000" w14:paraId="00000039">
      <w:pPr>
        <w:spacing w:line="240" w:lineRule="auto"/>
        <w:jc w:val="both"/>
        <w:rPr/>
      </w:pPr>
      <w:r w:rsidDel="00000000" w:rsidR="00000000" w:rsidRPr="00000000">
        <w:rPr>
          <w:rtl w:val="0"/>
        </w:rPr>
        <w:t xml:space="preserve">Con los ejes  Procesos Tecnológicos y Medios Técnicos en Tecnología se aprovecha el trabajo realizado para que alumnos adquieran conocimiento y destreza en el uso de herramientas, instrumentos y materiales básicos y los procesos que estos demandan, como por ejemplo realizan diagramas de flujo de energía, materia e información.</w:t>
      </w:r>
    </w:p>
    <w:p w:rsidR="00000000" w:rsidDel="00000000" w:rsidP="00000000" w:rsidRDefault="00000000" w:rsidRPr="00000000" w14:paraId="0000003A">
      <w:pPr>
        <w:spacing w:line="240" w:lineRule="auto"/>
        <w:jc w:val="both"/>
        <w:rPr/>
      </w:pPr>
      <w:r w:rsidDel="00000000" w:rsidR="00000000" w:rsidRPr="00000000">
        <w:rPr>
          <w:rtl w:val="0"/>
        </w:rPr>
        <w:t xml:space="preserve">Luego de la prueba y evaluación realizada comprueban que cumple muy satisfactoriamente con la función para lo cual fue diseñado el producto.</w:t>
      </w:r>
    </w:p>
    <w:p w:rsidR="00000000" w:rsidDel="00000000" w:rsidP="00000000" w:rsidRDefault="00000000" w:rsidRPr="00000000" w14:paraId="0000003B">
      <w:pPr>
        <w:spacing w:line="240" w:lineRule="auto"/>
        <w:jc w:val="both"/>
        <w:rPr/>
      </w:pPr>
      <w:r w:rsidDel="00000000" w:rsidR="00000000" w:rsidRPr="00000000">
        <w:rPr>
          <w:rtl w:val="0"/>
        </w:rPr>
        <w:t xml:space="preserve">Así también concluyen en que es necesario  realizar algunas mejoras para aumentar su seguridad en la operación del mismo, Por ejemplo un cobertor para el sistema de transmisión (poleas y correas)</w:t>
      </w:r>
    </w:p>
    <w:p w:rsidR="00000000" w:rsidDel="00000000" w:rsidP="00000000" w:rsidRDefault="00000000" w:rsidRPr="00000000" w14:paraId="0000003C">
      <w:pPr>
        <w:spacing w:line="240" w:lineRule="auto"/>
        <w:jc w:val="both"/>
        <w:rPr/>
      </w:pPr>
      <w:r w:rsidDel="00000000" w:rsidR="00000000" w:rsidRPr="00000000">
        <w:rPr>
          <w:rtl w:val="0"/>
        </w:rPr>
        <w:t xml:space="preserve"> PROYECCIÓN</w:t>
      </w:r>
    </w:p>
    <w:p w:rsidR="00000000" w:rsidDel="00000000" w:rsidP="00000000" w:rsidRDefault="00000000" w:rsidRPr="00000000" w14:paraId="0000003D">
      <w:pPr>
        <w:spacing w:line="240" w:lineRule="auto"/>
        <w:jc w:val="both"/>
        <w:rPr/>
      </w:pPr>
      <w:r w:rsidDel="00000000" w:rsidR="00000000" w:rsidRPr="00000000">
        <w:rPr>
          <w:rtl w:val="0"/>
        </w:rPr>
        <w:t xml:space="preserve">De  esta experiencia, surge la inquietud de la posibilidad de procesar la materia prima para la elaboración de una alimentación balanceada para sus aves y así bajar los costos en este aspecto que influye mucho sobre las ganancias en este tipo de actividades productivas.</w:t>
      </w:r>
    </w:p>
    <w:p w:rsidR="00000000" w:rsidDel="00000000" w:rsidP="00000000" w:rsidRDefault="00000000" w:rsidRPr="00000000" w14:paraId="0000003E">
      <w:pPr>
        <w:spacing w:line="240" w:lineRule="auto"/>
        <w:jc w:val="both"/>
        <w:rPr/>
      </w:pPr>
      <w:r w:rsidDel="00000000" w:rsidR="00000000" w:rsidRPr="00000000">
        <w:rPr>
          <w:rtl w:val="0"/>
        </w:rPr>
        <w:t xml:space="preserve">                                      Entre otros aspectos, la difusión del  producto obtenido del trabajo realizado por los alumnos trasciende de la escuela a la comunidad, donde otras familias se acercan para interiorizarse sobre la posibilidad del uso compartido del mismo.</w:t>
      </w:r>
    </w:p>
    <w:p w:rsidR="00000000" w:rsidDel="00000000" w:rsidP="00000000" w:rsidRDefault="00000000" w:rsidRPr="00000000" w14:paraId="0000003F">
      <w:pPr>
        <w:spacing w:line="240" w:lineRule="auto"/>
        <w:jc w:val="both"/>
        <w:rPr/>
      </w:pPr>
      <w:r w:rsidDel="00000000" w:rsidR="00000000" w:rsidRPr="00000000">
        <w:rPr>
          <w:rtl w:val="0"/>
        </w:rPr>
        <w:t xml:space="preserve">                                        La realización de este tipo de actividades pedagógicas  integrales posiciona aún más a la escuela como centro de desarrollo de una comunidad, tomando problemáticas  de la misma, analizandolas, las  investiga, diseña y construye colectivamente una respuesta o producto para  las necesidades  planteadas y  revaloriza el Conocimiento Significativo y el rol de la escuela.   </w:t>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Refdecomentario">
    <w:name w:val="annotation reference"/>
    <w:basedOn w:val="Fuentedeprrafopredeter"/>
    <w:uiPriority w:val="99"/>
    <w:semiHidden w:val="1"/>
    <w:unhideWhenUsed w:val="1"/>
    <w:rsid w:val="0029624D"/>
    <w:rPr>
      <w:sz w:val="16"/>
      <w:szCs w:val="16"/>
    </w:rPr>
  </w:style>
  <w:style w:type="paragraph" w:styleId="Textocomentario">
    <w:name w:val="annotation text"/>
    <w:basedOn w:val="Normal"/>
    <w:link w:val="TextocomentarioCar"/>
    <w:uiPriority w:val="99"/>
    <w:semiHidden w:val="1"/>
    <w:unhideWhenUsed w:val="1"/>
    <w:rsid w:val="002962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9624D"/>
    <w:rPr>
      <w:szCs w:val="20"/>
    </w:rPr>
  </w:style>
  <w:style w:type="paragraph" w:styleId="Asuntodelcomentario">
    <w:name w:val="annotation subject"/>
    <w:basedOn w:val="Textocomentario"/>
    <w:next w:val="Textocomentario"/>
    <w:link w:val="AsuntodelcomentarioCar"/>
    <w:uiPriority w:val="99"/>
    <w:semiHidden w:val="1"/>
    <w:unhideWhenUsed w:val="1"/>
    <w:rsid w:val="0029624D"/>
    <w:rPr>
      <w:b w:val="1"/>
      <w:bCs w:val="1"/>
    </w:rPr>
  </w:style>
  <w:style w:type="character" w:styleId="AsuntodelcomentarioCar" w:customStyle="1">
    <w:name w:val="Asunto del comentario Car"/>
    <w:basedOn w:val="TextocomentarioCar"/>
    <w:link w:val="Asuntodelcomentario"/>
    <w:uiPriority w:val="99"/>
    <w:semiHidden w:val="1"/>
    <w:rsid w:val="0029624D"/>
    <w:rPr>
      <w:b w:val="1"/>
      <w:bCs w:val="1"/>
      <w:szCs w:val="20"/>
    </w:rPr>
  </w:style>
  <w:style w:type="character" w:styleId="Hipervnculo">
    <w:name w:val="Hyperlink"/>
    <w:basedOn w:val="Fuentedeprrafopredeter"/>
    <w:uiPriority w:val="99"/>
    <w:unhideWhenUsed w:val="1"/>
    <w:rsid w:val="00473A7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uela175@lapampa.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2M6x0reDcrhFwgYVDfaPry3oyw==">AMUW2mUwyqQxQG64vGIFLTmtm9S9Nm8ZvcDJmb+lWByBJfMABHJtUW4Avmy4Feeqo3HbxYY9lznYbOzoTycspbuY0fmk1lb5UlVlXSIMC524ZwHu71nam9mCS5tt+Bc9wMhtx/GKtgbw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