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 “Caá  Yarí vuelve a Brotar”</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ab/>
        <w:tab/>
        <w:t xml:space="preserve">Primario</w:t>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Lengua. Matemática. Ciencias sociales. Ciencias naturales. Educación agraria. Plástica</w:t>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común</w:t>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SALA/GRADO/AÑO/CICLO/SECCIÓN:4°</w:t>
        <w:tab/>
        <w:t xml:space="preserve">CANTIDAD DE ALUMNOS/AS  PARTICIPANTES:4</w:t>
      </w:r>
    </w:p>
    <w:p w:rsidR="00000000" w:rsidDel="00000000" w:rsidP="00000000" w:rsidRDefault="00000000" w:rsidRPr="00000000" w14:paraId="00000007">
      <w:pPr>
        <w:rPr/>
      </w:pPr>
      <w:r w:rsidDel="00000000" w:rsidR="00000000" w:rsidRPr="00000000">
        <w:rPr>
          <w:b w:val="1"/>
          <w:sz w:val="24"/>
          <w:szCs w:val="24"/>
          <w:rtl w:val="0"/>
        </w:rPr>
        <w:t xml:space="preserve">EJE TEMÁTICO: proyecto integrado</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Eje: En relación con la literatura</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La participación frecuente en situaciones de lectura, comprensión y disfrute de obras literarias de tradición oral y de autor con el propósito de formarse como lector de literatura.</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La producción de textos orales y escritos, de manera colectiva, en pequeños grupos y/o en forma individual, con la colaboración del docente.</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Eje: En relación con la reflexión sobre la lengua (sistema, norma y uso) y los textos</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La reflexión sistemática, con ayuda del docente, de unidades y relaciones gramaticales y textuales de los textos trabajados durante el año.</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Eje: En relación con la comprensión y la producción oral</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La escucha comprensiva de textos expresados en forma oral por el docente, sus pares y otros adultos.</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Eje: Las sociedades a través del tiempo: La diversidad de las sociedades indígenas en el actual territorio americano y la construcción del orden colonial.</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El conocimiento de las diferentes formas de organización social indígena para analizar cómo estas sociedades se relacionaron con la naturaleza para resolver sus problemas de supervivencia, distribuyeron los bienes producidos, constituyeron distintas formas de autoridad y elaboraron distintos sistemas de creencias, previo a la llegada de los europeos.</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Eje: producción</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El reconocimiento de los códigos y procedimientos visuales, para la organización y estructuración del espacio bidimensional y tridimensional.</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Eje: geometría y medida</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La comprensión del proceso de medir, considerando diferentes expresiones posibles para una misma cantidad en diversas situaciones problemáticas.</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Eje: La vida, diversidad, unidad, interacciones y cambios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El reconocimiento de nuevos grupos de organismos vivos para profundizar la comprensión de la unidad y diversidad de la vida.</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9">
      <w:pPr>
        <w:spacing w:after="120" w:lineRule="auto"/>
        <w:rPr>
          <w:b w:val="1"/>
          <w:sz w:val="24"/>
          <w:szCs w:val="24"/>
        </w:rPr>
      </w:pPr>
      <w:r w:rsidDel="00000000" w:rsidR="00000000" w:rsidRPr="00000000">
        <w:rPr>
          <w:b w:val="1"/>
          <w:sz w:val="24"/>
          <w:szCs w:val="24"/>
          <w:rtl w:val="0"/>
        </w:rPr>
        <w:t xml:space="preserve">NOMBRE: Escuela J.C. n° 159 “Alejandra Elisa F. de Ortiz Echague”</w:t>
      </w:r>
    </w:p>
    <w:p w:rsidR="00000000" w:rsidDel="00000000" w:rsidP="00000000" w:rsidRDefault="00000000" w:rsidRPr="00000000" w14:paraId="0000001A">
      <w:pPr>
        <w:spacing w:after="120" w:lineRule="auto"/>
        <w:rPr>
          <w:b w:val="1"/>
          <w:sz w:val="24"/>
          <w:szCs w:val="24"/>
        </w:rPr>
      </w:pPr>
      <w:r w:rsidDel="00000000" w:rsidR="00000000" w:rsidRPr="00000000">
        <w:rPr>
          <w:b w:val="1"/>
          <w:sz w:val="24"/>
          <w:szCs w:val="24"/>
          <w:rtl w:val="0"/>
        </w:rPr>
        <w:t xml:space="preserve">LOCALIDAD:</w:t>
        <w:tab/>
        <w:t xml:space="preserve">Carro Quemado</w:t>
        <w:tab/>
        <w:tab/>
        <w:tab/>
        <w:tab/>
        <w:t xml:space="preserve"> TELÉFONO:02338-496059</w:t>
      </w:r>
    </w:p>
    <w:p w:rsidR="00000000" w:rsidDel="00000000" w:rsidP="00000000" w:rsidRDefault="00000000" w:rsidRPr="00000000" w14:paraId="0000001B">
      <w:pPr>
        <w:spacing w:after="120" w:lineRule="auto"/>
        <w:rPr>
          <w:b w:val="1"/>
          <w:sz w:val="24"/>
          <w:szCs w:val="24"/>
        </w:rPr>
      </w:pPr>
      <w:r w:rsidDel="00000000" w:rsidR="00000000" w:rsidRPr="00000000">
        <w:rPr>
          <w:b w:val="1"/>
          <w:sz w:val="24"/>
          <w:szCs w:val="24"/>
          <w:rtl w:val="0"/>
        </w:rPr>
        <w:t xml:space="preserve">CORREO ELECTRÓNICO: escuela 159@lapampa.edu.ar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1.73228346456688" w:right="424"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Glasser, Virginia Celeste</w:t>
      </w:r>
    </w:p>
    <w:p w:rsidR="00000000" w:rsidDel="00000000" w:rsidP="00000000" w:rsidRDefault="00000000" w:rsidRPr="00000000" w14:paraId="0000001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Gomez, Anabela Belen</w:t>
      </w:r>
    </w:p>
    <w:p w:rsidR="00000000" w:rsidDel="00000000" w:rsidP="00000000" w:rsidRDefault="00000000" w:rsidRPr="00000000" w14:paraId="0000002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Garcia, Juana Iris</w:t>
      </w:r>
    </w:p>
    <w:p w:rsidR="00000000" w:rsidDel="00000000" w:rsidP="00000000" w:rsidRDefault="00000000" w:rsidRPr="00000000" w14:paraId="0000002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Abrahan, Arturo Eduardo Alejandro</w:t>
      </w:r>
    </w:p>
    <w:p w:rsidR="00000000" w:rsidDel="00000000" w:rsidP="00000000" w:rsidRDefault="00000000" w:rsidRPr="00000000" w14:paraId="00000022">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Lucero Ortiz, Norberto Javier</w:t>
      </w:r>
    </w:p>
    <w:p w:rsidR="00000000" w:rsidDel="00000000" w:rsidP="00000000" w:rsidRDefault="00000000" w:rsidRPr="00000000" w14:paraId="00000023">
      <w:pPr>
        <w:spacing w:after="120" w:lineRule="auto"/>
        <w:rPr>
          <w:sz w:val="24"/>
          <w:szCs w:val="24"/>
        </w:rPr>
      </w:pPr>
      <w:r w:rsidDel="00000000" w:rsidR="00000000" w:rsidRPr="00000000">
        <w:rPr>
          <w:rtl w:val="0"/>
        </w:rPr>
      </w:r>
    </w:p>
    <w:p w:rsidR="00000000" w:rsidDel="00000000" w:rsidP="00000000" w:rsidRDefault="00000000" w:rsidRPr="00000000" w14:paraId="00000024">
      <w:pPr>
        <w:tabs>
          <w:tab w:val="left" w:pos="0"/>
        </w:tabs>
        <w:spacing w:before="160" w:line="240" w:lineRule="auto"/>
        <w:jc w:val="both"/>
        <w:rPr>
          <w:b w:val="1"/>
          <w:i w:val="1"/>
          <w:sz w:val="24"/>
          <w:szCs w:val="24"/>
        </w:rPr>
      </w:pPr>
      <w:r w:rsidDel="00000000" w:rsidR="00000000" w:rsidRPr="00000000">
        <w:rPr>
          <w:rtl w:val="0"/>
        </w:rPr>
      </w:r>
    </w:p>
    <w:p w:rsidR="00000000" w:rsidDel="00000000" w:rsidP="00000000" w:rsidRDefault="00000000" w:rsidRPr="00000000" w14:paraId="00000025">
      <w:pPr>
        <w:tabs>
          <w:tab w:val="left" w:pos="0"/>
        </w:tabs>
        <w:spacing w:before="160" w:line="240" w:lineRule="auto"/>
        <w:jc w:val="both"/>
        <w:rPr>
          <w:b w:val="1"/>
          <w:i w:val="1"/>
          <w:sz w:val="24"/>
          <w:szCs w:val="24"/>
        </w:rPr>
      </w:pPr>
      <w:r w:rsidDel="00000000" w:rsidR="00000000" w:rsidRPr="00000000">
        <w:rPr>
          <w:rtl w:val="0"/>
        </w:rPr>
      </w:r>
    </w:p>
    <w:p w:rsidR="00000000" w:rsidDel="00000000" w:rsidP="00000000" w:rsidRDefault="00000000" w:rsidRPr="00000000" w14:paraId="00000026">
      <w:pPr>
        <w:tabs>
          <w:tab w:val="left" w:pos="0"/>
        </w:tabs>
        <w:spacing w:before="160" w:line="240" w:lineRule="auto"/>
        <w:jc w:val="both"/>
        <w:rPr>
          <w:b w:val="1"/>
          <w:i w:val="1"/>
          <w:sz w:val="24"/>
          <w:szCs w:val="24"/>
        </w:rPr>
      </w:pPr>
      <w:r w:rsidDel="00000000" w:rsidR="00000000" w:rsidRPr="00000000">
        <w:rPr>
          <w:rtl w:val="0"/>
        </w:rPr>
      </w:r>
    </w:p>
    <w:p w:rsidR="00000000" w:rsidDel="00000000" w:rsidP="00000000" w:rsidRDefault="00000000" w:rsidRPr="00000000" w14:paraId="00000027">
      <w:pPr>
        <w:tabs>
          <w:tab w:val="left" w:pos="0"/>
        </w:tabs>
        <w:spacing w:before="160" w:line="240" w:lineRule="auto"/>
        <w:jc w:val="both"/>
        <w:rPr>
          <w:b w:val="1"/>
          <w:i w:val="1"/>
          <w:sz w:val="24"/>
          <w:szCs w:val="24"/>
        </w:rPr>
      </w:pPr>
      <w:r w:rsidDel="00000000" w:rsidR="00000000" w:rsidRPr="00000000">
        <w:rPr>
          <w:rtl w:val="0"/>
        </w:rPr>
      </w:r>
    </w:p>
    <w:p w:rsidR="00000000" w:rsidDel="00000000" w:rsidP="00000000" w:rsidRDefault="00000000" w:rsidRPr="00000000" w14:paraId="00000028">
      <w:pPr>
        <w:tabs>
          <w:tab w:val="left" w:pos="0"/>
        </w:tabs>
        <w:spacing w:before="160" w:line="240" w:lineRule="auto"/>
        <w:jc w:val="both"/>
        <w:rPr>
          <w:b w:val="1"/>
          <w:i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rjmqdb316gyf" w:id="1"/>
      <w:bookmarkEnd w:id="1"/>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Registro Narrativo “ Caá yari vuelve a brotar”.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propuesta didáctica:  “Caá Yarí vuelve a brotar”    surge a raíz de observaciones por parte de un grupo de alumnos/as de 4° grado y docentes de la Escuela J. C N° 159 de la localidad de Carro Quemado.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El pueblo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Carro Quemado está ubicado en el departamento Loventue a 120 km. de la ciudad capital de la provincia de La Pampa. Enclavado en la región del caldenal.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escuela N° 159 Jornada completa  “Alejandra Elisa Ferrari de Ortiz Echagüe” nació antes que el pueblo, se puede decir que el pueblo nació a su alrededor.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niños y niñas que vivían en los campos recibían educación de un maestro ambulante que recorría en su carro los diferentes parajes. Uno de esos maestros, Angel Norberto Telles de Menese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 gestionó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creación de la escuela. Así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logró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se presten habitaciones, posteriormente donen terrenos donde finalmente se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edificó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escuela. Al pasar a la provincia fue escuela hogar, es decir los niños y las niñas  vivían en la escuela de lunes a viernes, actualmente es de Jornada Completa con Nivel Inicial dependiente del JIN N° 21 y el ciclo Básico Rural con Itinerancia Anexo al Colegio Secundario Leuvucó.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Institución educativa se ubica en la calle Av. Sarmiento N°  350, cuenta con una matrícula de 40 alumnos/as.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trabaja de manera cooperativa  buscando que los/as niños/as puedan participar en diferentes propuestas que favorezcan una mejor calidad educativa adaptándose al contexto que nos toca vivir.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que comenzó el aislamiento social, preventivo  y obligatorio el equipo directivo y docente organizaron la institución para dar respuestas inmediatas ante esta situación. Se organizaron grupos de Whats App de cada grupo clase donde se suben las actividades digitalizadas de cada área curricular, recursos didácticos /juegos, gráficos, visuales, audios, videos, explicaciones, aplicaciones/actos virtuales, clases virtuales. Se mantiene una comunicación constante con cada familia realizando seguimiento y acompañando en este proceso de enseñanza y aprendizaje de manera bimodal. Los/as alumnos/as que no tienen conectividad reciben en sus domicilios el material de forma impresa y cuentan con las neetbook de primaria digital.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ciclo lectivo afrontando el desafío de la “vuelta a la escuela” de manera bimodal y de tener que repensar nuestras prácticas pedagógicas se acordó institucionalmente trabajar a través de proyectos integrados con el propósito de abordar múltiples saberes prioritarios optimizando tiempo.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presente proyecto integrado se llevó a cabo desde los espacios curriculares de: Lengua, matemática, ciencias sociales, ciencias naturales, educación agraria y educación plástica; teniendo en cuenta el diseño curricular de la provincia de La Pampa, cuadernos para el aula, proyecto escolar y acuerdos institucionales. Se desarrolló a partir de abordar múltiples saberes: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Ciencias Naturales: Eje: La vida, diversidad, unidad, interacciones y cambios. Saber: El reconocimiento de nuevos grupos de organismos vivos para profundizar la comprensión de la unidad y diversidad de la vida.</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Calibri" w:cs="Calibri" w:eastAsia="Calibri" w:hAnsi="Calibri"/>
          <w:b w:val="0"/>
          <w:i w:val="0"/>
          <w:smallCaps w:val="0"/>
          <w:strike w:val="0"/>
          <w:color w:val="212121"/>
          <w:sz w:val="22"/>
          <w:szCs w:val="22"/>
          <w:u w:val="none"/>
          <w:shd w:fill="auto" w:val="clear"/>
          <w:vertAlign w:val="baseline"/>
        </w:r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Matemática: Eje: Geometría y medida. Saber: La comprensión del proceso de medir, considerando diferentes expresiones posibles para una misma cantidad en diversas situaciones problemáticas.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Lengua: Eje: En relación con la literatura Saber: La participación frecuente en situaciones de lectura, comprensión y disfrute de obras literarias de tradición oral y de autor con el propósito de formarse como lector de literatura.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producción de textos orales y escritos, de manera colectiva, en pequeños grupos y/o en forma individual, con la colaboración del docente.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En relación con la reflexión sobre la lengua (sistema, norma y uso) y los textos. Saber: La reflexión sistemática, con ayuda del docente, de unidades y relaciones gramaticales y textuales de los textos trabajados durante el año.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En relación con la comprensión y la producción oral. Saber: La escucha comprensiva de textos expresados en forma oral por el docente, sus pares y otros adultos.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Ciencias sociales: Eje: Las sociedades a través del tiempo: Saber; La diversidad de las sociedades indígenas en el actual territorio americano y la construcción del orden colonial.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conocimiento de las diferentes formas de organización social indígena para analizar cómo estas sociedades se relacionaron con la naturaleza para resolver sus problemas de supervivencia, distribuyeron los bienes producidos, constituyeron distintas formas de autoridad y elaboraron distintos sistemas de creencias, previo a la llegada de los europeos.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plástica; Eje: producción. Saber: El reconocimiento de los códigos y procedimientos visuales, para la organización y estructuración del espacio bidimensional y tridimensional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agraria; EJE: “El reconocimiento  y desarrollo de procesos productivos agrarios en diferentes ámbitos”. Saber; identificación de las distintas etapas que conforman el desarrollo de un proceso productivo.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pensó en conjunto con el equipo docente articulando saberes propios de cada área a través del trabajo colaborativo utilizando la aplicación google drive y Whats App para mantener una comunicación fluida en la confección, desarrollo y puesta en marcha del mismo.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color w:val="262626"/>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el propósito de generar situaciones de enseñanzas que permitan conocer, identificar, observar, experimentar y analizar sobre la yerba mate a través del trabajo interdisciplinario</w:t>
      </w:r>
      <w:r w:rsidDel="00000000" w:rsidR="00000000" w:rsidRPr="00000000">
        <w:rPr>
          <w:rtl w:val="0"/>
        </w:rPr>
        <w:t xml:space="preserve"> promoviendo la </w:t>
      </w:r>
      <w:r w:rsidDel="00000000" w:rsidR="00000000" w:rsidRPr="00000000">
        <w:rPr>
          <w:color w:val="262626"/>
          <w:rtl w:val="0"/>
        </w:rPr>
        <w:t xml:space="preserve"> búsqueda de soluciones sustentables y  acciones que favorezcan la preservación del planeta tierra.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las observaciones realizadas por los estudiantes y familias a través de acciones diarias o fotos,  todos/as llegaron a la conclusión de que el tiempo de pandemia y con  el cumplimiento de los protocolos sanitarios establecidos, una de las rutinas diarias que se había afectado era el compartir el  mate en familia,  el consumo se había multiplicado, en lugar de un mate se preparaban tres o cuatro, y por ende implicaba mayores desechos de yerba en cada vivienda.  Por tal motivo comenzamos  a preguntarnos en las clases bimodales ¿Qué hacemos con la yerba? ¿Qué hacemos con los desechos orgánicos? ¿De qué manera podemos reutilizar la yerba? ¿Qué acciones realizamos para ayudar a nuestro planeta?.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diálogo con los/as alumnos/as las respuestas fueron: utilizar la yerba en el compost de la escuela y en sus hogares, para abono de las plantas y macetas biodegradables, opción que había visto en las redes sociales junto a su familiares (facebook, instagram o tik tok). Se tuvo en cuenta estas ideas y se pensó un proyecto con el interés de los alumnos/as.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Lengua y Literatura se promovieron situaciones de enseñanza en las que los/as alumnos/as  participaron de distintos momentos de intercambio oral, lectura y disfrute de textos literarios de tradición oral, particularmente leyendas, en esta propuesta la “Leyenda de la Yerba Mate” que se presentó como disparador para abordar la temática en cuestión. También   se llevaron adelante actividades áulicas  que les permitieron a los alumnos leer e identificar y diferenciar este  tipo de textos y sus características principales (estructura narrativa, protagonistas y antagonistas, transformaciones)  así como también  reconocer las formas de organización textual, distingan  y clasifiquen tipos de palabras, sustantivos, adjetivos y verbos.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Ciencias Sociales se promovieron diferentes actividades con el propósito de que los alumnos y alumnas  puedan reconocer la  existencia de diversos pueblos originarios en el actual territorio nacional previo a la llegada de los europeos, así como también  la gran diversidad cultural que nos han legado a través de distintas prácticas. Algunas de las actividades áulicas consistieron en el análisis de textos e imágenes para conocer y diferenciar  las sociedades nómades, cazadoras- recolectoras de  los grupos sedentarios que desarrollaron las primeras prácticas agricultoras. Este  saber se articuló con lo abordado desde prácticas del lenguaje a través del disfrute de múltiples leyendas  de distintas regiones del país,  mediante las cuáles los pueblos originarios  hacían su interpretación del medio natural en el que estaban inmersos. Luego las transmitían oralmente pasándola de generación en generación.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matemática se presentaron situaciones problemáticas que posibilitaron a los estudiantes trabajar con medidas convencionales y no convencionales; comparar y determinar pesos usando la uni­dad (gramo y kilo) y sus múltiplos socialmente más utilizados; es­tablecer equivalencias entre estas unidades de medida y establecer relaciones entre distintas maneras de registrar una canti­dad utilizando producto conocidos por ellos/as como es la yerba.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Ciencias Naturales se abordó el tema de Introducir nuevos tipos de organismos vivos. Como son las bacterias, virus y hongos. Se llevaron a cabo experiencias para observar, experimentar y analizar cómo se comportan estos microorganismos en alimentos conocidos, como yerba, frutas, pan, etc. investigamos a través de estas actividades ¿Qué condiciones son propicias para que se reproduzcan? Llegando a la conclusión que los microorganismos se reproducen en lugares  cerrados, cálidos y con poca luz.</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Educación Agraria se plantearon actividades para conocer las actividades productivas, especialmente la producción de yerba en el noreste de nuestro país y circuito productivo. Se trabajó a través de la observación de audiovisuales, documentales, fichas interactivas utilizando el aula digital móvil.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área de Educación Plástica se abordó la construcción de macetas biodegradables como principal ingrediente la yerba reutilizable recolectada por el personal auxiliar, alumnos/as y docentes y  familias. ̈Por último se confeccionó un video para compartir con los demás grupos de whats app de la institución, redes sociales para dar a conocer las producciones del grupo clase. En esta actividad los/as alumno/as tuvieron un papel activo donde realizaron las tareas de comunicar y de grabar. Luego los docentes editaron el video.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hace varios años desde la institución educativa se llevan a cabo prácticas de cuidados y preservación del ambiente para concientizar a los estudiantes y familias de la importancia de prácticas sustentables y ambientalistas para ayudar al planeta tierra.  La educación ambiental es un proceso que dura toda la vida y que tiene como objetivo impartir conciencia ambiental, conocimiento ecológico, actitudes y valores hacia el medio ambiente para tomar un compromiso de acciones y responsabilidades que tengan por fin el uso racional de los recursos y poder lograr así un desarrollo adecuado y sostenible.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proyecto tuvo como finalidad la confección de macetas biodegradables como una acción para buscar soluciones sustentables devolviendo al planeta lo que la acción del hombre le arrebata día a día. Por tal motivo valoramos los desechos de la yerba para convertirlo en un recurso que vuelve a brotar y da fertilidad a nuestra tierra. Como dicen los Guaraníes: “La Tierra es nuestra Madre, nuestra vida y nuestra libertad”.</w:t>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B11F78"/>
    <w:rPr>
      <w:color w:val="0000ff" w:themeColor="hyperlink"/>
      <w:u w:val="single"/>
    </w:rPr>
  </w:style>
  <w:style w:type="paragraph" w:styleId="NormalWeb">
    <w:name w:val="Normal (Web)"/>
    <w:basedOn w:val="Normal"/>
    <w:uiPriority w:val="99"/>
    <w:unhideWhenUsed w:val="1"/>
    <w:rsid w:val="00EC7605"/>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BHlAnsJAgDYRvsFsCCTJT1HcQ==">AMUW2mWEANPPxqjsaG/jxmNS6JgYbDldTKMxQ8CLxhAjv90cjotjwKHTxuC/bdYc75emPbn70c6k5jcQzuAItCI7Gmct91jm30qqVgBregGEZKnkdhcIaBzojjHikDS0F5eJ03Xxsimjnsbh9rvhpPXxRLY4swRcjA==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2021-09-17T22:33:00Z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